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40"/>
      </w:pPr>
      <w:r>
        <w:rPr>
          <w:rFonts w:ascii="Aptos Display" w:hAnsi="Aptos Display"/>
          <w:b/>
          <w:color w:val="10283F"/>
          <w:sz w:val="40"/>
        </w:rPr>
        <w:t>MUTUAL NON-DISCLOSURE AGREEMENT</w:t>
      </w:r>
    </w:p>
    <w:p>
      <w:pPr>
        <w:spacing w:after="180"/>
      </w:pPr>
      <w:r>
        <w:rPr>
          <w:rFonts w:ascii="Aptos" w:hAnsi="Aptos"/>
          <w:color w:val="B87333"/>
          <w:sz w:val="21"/>
        </w:rPr>
        <w:t>Property &amp; Acquisition Discussions</w:t>
      </w:r>
    </w:p>
    <w:tbl>
      <w:tblPr>
        <w:tblW w:type="auto" w:w="0"/>
        <w:jc w:val="center"/>
        <w:tblLayout w:type="fixed"/>
        <w:tblLook w:firstColumn="1" w:firstRow="1" w:lastColumn="0" w:lastRow="0" w:noHBand="0" w:noVBand="1" w:val="04A0"/>
        <w:tblBorders>
          <w:top w:val="single" w:sz="6" w:color="D9DEE3"/>
          <w:left w:val="single" w:sz="6" w:color="D9DEE3"/>
          <w:bottom w:val="single" w:sz="6" w:color="D9DEE3"/>
          <w:right w:val="single" w:sz="6" w:color="D9DEE3"/>
          <w:insideH w:val="single" w:sz="6" w:color="D9DEE3"/>
          <w:insideV w:val="single" w:sz="6" w:color="D9DEE3"/>
        </w:tblBorders>
      </w:tblPr>
      <w:tblGrid>
        <w:gridCol w:w="5083"/>
        <w:gridCol w:w="5083"/>
      </w:tblGrid>
      <w:tr>
        <w:tc>
          <w:tcPr>
            <w:tcW w:type="dxa" w:w="5040"/>
            <w:tcMar>
              <w:top w:w="90" w:type="dxa"/>
              <w:start w:w="120" w:type="dxa"/>
              <w:bottom w:w="90" w:type="dxa"/>
              <w:end w:w="120" w:type="dxa"/>
            </w:tcMar>
            <w:vAlign w:val="center"/>
            <w:shd w:fill="F3F5F7"/>
          </w:tcPr>
          <w:p>
            <w:pPr>
              <w:spacing w:after="0" w:line="240" w:lineRule="auto"/>
            </w:pPr>
            <w:r>
              <w:rPr>
                <w:rFonts w:ascii="Aptos" w:hAnsi="Aptos"/>
                <w:b/>
                <w:color w:val="B87333"/>
                <w:sz w:val="14"/>
              </w:rPr>
              <w:t>CLIENT / RECIPIENT LEGAL NAME</w:t>
              <w:br/>
            </w:r>
            <w:sdt>
              <w:sdtPr>
                <w:tag w:val="CLIENT_LEGAL_NAME"/>
                <w:alias w:val="CLIENT_LEGAL_NAME"/>
                <w:text/>
              </w:sdtPr>
              <w:sdtContent>
                <w:r>
                  <w:rPr>
                    <w:rFonts w:ascii="Aptos" w:hAnsi="Aptos"/>
                    <w:color w:val="20252A"/>
                    <w:sz w:val="18"/>
                  </w:rPr>
                  <w:t>{{CLIENT_LEGAL_NAME}}</w:t>
                </w:r>
              </w:sdtContent>
            </w:sdt>
          </w:p>
        </w:tc>
        <w:tc>
          <w:tcPr>
            <w:tcW w:type="dxa" w:w="5040"/>
            <w:tcMar>
              <w:top w:w="90" w:type="dxa"/>
              <w:start w:w="120" w:type="dxa"/>
              <w:bottom w:w="90" w:type="dxa"/>
              <w:end w:w="120" w:type="dxa"/>
            </w:tcMar>
            <w:vAlign w:val="center"/>
            <w:shd w:fill="F3F5F7"/>
          </w:tcPr>
          <w:p>
            <w:pPr>
              <w:spacing w:after="0" w:line="240" w:lineRule="auto"/>
            </w:pPr>
            <w:r>
              <w:rPr>
                <w:rFonts w:ascii="Aptos" w:hAnsi="Aptos"/>
                <w:b/>
                <w:color w:val="B87333"/>
                <w:sz w:val="14"/>
              </w:rPr>
              <w:t>CONTACT PERSON &amp; TITLE</w:t>
              <w:br/>
            </w:r>
            <w:sdt>
              <w:sdtPr>
                <w:tag w:val="CONTACT_NAME_TITLE"/>
                <w:alias w:val="CONTACT_NAME_TITLE"/>
                <w:text/>
              </w:sdtPr>
              <w:sdtContent>
                <w:r>
                  <w:rPr>
                    <w:rFonts w:ascii="Aptos" w:hAnsi="Aptos"/>
                    <w:color w:val="20252A"/>
                    <w:sz w:val="18"/>
                  </w:rPr>
                  <w:t>{{CONTACT_NAME_TITLE}}</w:t>
                </w:r>
              </w:sdtContent>
            </w:sdt>
          </w:p>
        </w:tc>
      </w:tr>
      <w:tr>
        <w:tc>
          <w:tcPr>
            <w:tcW w:type="dxa" w:w="5040"/>
            <w:tcMar>
              <w:top w:w="90" w:type="dxa"/>
              <w:start w:w="120" w:type="dxa"/>
              <w:bottom w:w="90" w:type="dxa"/>
              <w:end w:w="120" w:type="dxa"/>
            </w:tcMar>
            <w:vAlign w:val="center"/>
            <w:shd w:fill="F3F5F7"/>
          </w:tcPr>
          <w:p>
            <w:pPr>
              <w:spacing w:after="0" w:line="240" w:lineRule="auto"/>
            </w:pPr>
            <w:r>
              <w:rPr>
                <w:rFonts w:ascii="Aptos" w:hAnsi="Aptos"/>
                <w:b/>
                <w:color w:val="B87333"/>
                <w:sz w:val="14"/>
              </w:rPr>
              <w:t>PROPERTY / OPPORTUNITY ADDRESS</w:t>
              <w:br/>
            </w:r>
            <w:sdt>
              <w:sdtPr>
                <w:tag w:val="PROPERTY_ADDRESS"/>
                <w:alias w:val="PROPERTY_ADDRESS"/>
                <w:text/>
              </w:sdtPr>
              <w:sdtContent>
                <w:r>
                  <w:rPr>
                    <w:rFonts w:ascii="Aptos" w:hAnsi="Aptos"/>
                    <w:color w:val="20252A"/>
                    <w:sz w:val="18"/>
                  </w:rPr>
                  <w:t>{{PROPERTY_ADDRESS}}</w:t>
                </w:r>
              </w:sdtContent>
            </w:sdt>
          </w:p>
        </w:tc>
        <w:tc>
          <w:tcPr>
            <w:tcW w:type="dxa" w:w="5040"/>
            <w:tcMar>
              <w:top w:w="90" w:type="dxa"/>
              <w:start w:w="120" w:type="dxa"/>
              <w:bottom w:w="90" w:type="dxa"/>
              <w:end w:w="120" w:type="dxa"/>
            </w:tcMar>
            <w:vAlign w:val="center"/>
            <w:shd w:fill="F3F5F7"/>
          </w:tcPr>
          <w:p>
            <w:pPr>
              <w:spacing w:after="0" w:line="240" w:lineRule="auto"/>
            </w:pPr>
            <w:r>
              <w:rPr>
                <w:rFonts w:ascii="Aptos" w:hAnsi="Aptos"/>
                <w:b/>
                <w:color w:val="B87333"/>
                <w:sz w:val="14"/>
              </w:rPr>
              <w:t>OWNER / SELLER (IF DIFFERENT)</w:t>
              <w:br/>
            </w:r>
            <w:sdt>
              <w:sdtPr>
                <w:tag w:val="OWNER_SELLER"/>
                <w:alias w:val="OWNER_SELLER"/>
                <w:text/>
              </w:sdtPr>
              <w:sdtContent>
                <w:r>
                  <w:rPr>
                    <w:rFonts w:ascii="Aptos" w:hAnsi="Aptos"/>
                    <w:color w:val="20252A"/>
                    <w:sz w:val="18"/>
                  </w:rPr>
                  <w:t>{{OWNER_SELLER}}</w:t>
                </w:r>
              </w:sdtContent>
            </w:sdt>
          </w:p>
        </w:tc>
      </w:tr>
      <w:tr>
        <w:tc>
          <w:tcPr>
            <w:tcW w:type="dxa" w:w="5040"/>
            <w:tcMar>
              <w:top w:w="90" w:type="dxa"/>
              <w:start w:w="120" w:type="dxa"/>
              <w:bottom w:w="90" w:type="dxa"/>
              <w:end w:w="120" w:type="dxa"/>
            </w:tcMar>
            <w:vAlign w:val="center"/>
            <w:shd w:fill="F3F5F7"/>
          </w:tcPr>
          <w:p>
            <w:pPr>
              <w:spacing w:after="0" w:line="240" w:lineRule="auto"/>
            </w:pPr>
            <w:r>
              <w:rPr>
                <w:rFonts w:ascii="Aptos" w:hAnsi="Aptos"/>
                <w:b/>
                <w:color w:val="B87333"/>
                <w:sz w:val="14"/>
              </w:rPr>
              <w:t>CLIENT ADDRESS</w:t>
              <w:br/>
            </w:r>
            <w:sdt>
              <w:sdtPr>
                <w:tag w:val="CLIENT_ADDRESS"/>
                <w:alias w:val="CLIENT_ADDRESS"/>
                <w:text/>
              </w:sdtPr>
              <w:sdtContent>
                <w:r>
                  <w:rPr>
                    <w:rFonts w:ascii="Aptos" w:hAnsi="Aptos"/>
                    <w:color w:val="20252A"/>
                    <w:sz w:val="18"/>
                  </w:rPr>
                  <w:t>{{CLIENT_ADDRESS}}</w:t>
                </w:r>
              </w:sdtContent>
            </w:sdt>
          </w:p>
        </w:tc>
        <w:tc>
          <w:tcPr>
            <w:tcW w:type="dxa" w:w="5040"/>
            <w:tcMar>
              <w:top w:w="90" w:type="dxa"/>
              <w:start w:w="120" w:type="dxa"/>
              <w:bottom w:w="90" w:type="dxa"/>
              <w:end w:w="120" w:type="dxa"/>
            </w:tcMar>
            <w:vAlign w:val="center"/>
            <w:shd w:fill="F3F5F7"/>
          </w:tcPr>
          <w:p>
            <w:pPr>
              <w:spacing w:after="0" w:line="240" w:lineRule="auto"/>
            </w:pPr>
            <w:r>
              <w:rPr>
                <w:rFonts w:ascii="Aptos" w:hAnsi="Aptos"/>
                <w:b/>
                <w:color w:val="B87333"/>
                <w:sz w:val="14"/>
              </w:rPr>
              <w:t>EMAIL &amp; TELEPHONE</w:t>
              <w:br/>
            </w:r>
            <w:sdt>
              <w:sdtPr>
                <w:tag w:val="CLIENT_EMAIL_PHONE"/>
                <w:alias w:val="CLIENT_EMAIL_PHONE"/>
                <w:text/>
              </w:sdtPr>
              <w:sdtContent>
                <w:r>
                  <w:rPr>
                    <w:rFonts w:ascii="Aptos" w:hAnsi="Aptos"/>
                    <w:color w:val="20252A"/>
                    <w:sz w:val="18"/>
                  </w:rPr>
                  <w:t>{{CLIENT_EMAIL_PHONE}}</w:t>
                </w:r>
              </w:sdtContent>
            </w:sdt>
          </w:p>
        </w:tc>
      </w:tr>
      <w:tr>
        <w:tc>
          <w:tcPr>
            <w:tcW w:type="dxa" w:w="5040"/>
            <w:tcMar>
              <w:top w:w="90" w:type="dxa"/>
              <w:start w:w="120" w:type="dxa"/>
              <w:bottom w:w="90" w:type="dxa"/>
              <w:end w:w="120" w:type="dxa"/>
            </w:tcMar>
            <w:vAlign w:val="center"/>
            <w:shd w:fill="F3F5F7"/>
          </w:tcPr>
          <w:p>
            <w:pPr>
              <w:spacing w:after="0" w:line="240" w:lineRule="auto"/>
            </w:pPr>
            <w:r>
              <w:rPr>
                <w:rFonts w:ascii="Aptos" w:hAnsi="Aptos"/>
                <w:b/>
                <w:color w:val="B87333"/>
                <w:sz w:val="14"/>
              </w:rPr>
              <w:t>PURPOSE OF DISCUSSIONS</w:t>
              <w:br/>
            </w:r>
            <w:sdt>
              <w:sdtPr>
                <w:tag w:val="PURPOSE"/>
                <w:alias w:val="PURPOSE"/>
                <w:text/>
              </w:sdtPr>
              <w:sdtContent>
                <w:r>
                  <w:rPr>
                    <w:rFonts w:ascii="Aptos" w:hAnsi="Aptos"/>
                    <w:color w:val="20252A"/>
                    <w:sz w:val="18"/>
                  </w:rPr>
                  <w:t>{{PURPOSE}}</w:t>
                </w:r>
              </w:sdtContent>
            </w:sdt>
          </w:p>
        </w:tc>
        <w:tc>
          <w:tcPr>
            <w:tcW w:type="dxa" w:w="5040"/>
            <w:tcMar>
              <w:top w:w="90" w:type="dxa"/>
              <w:start w:w="120" w:type="dxa"/>
              <w:bottom w:w="90" w:type="dxa"/>
              <w:end w:w="120" w:type="dxa"/>
            </w:tcMar>
            <w:vAlign w:val="center"/>
            <w:shd w:fill="F3F5F7"/>
          </w:tcPr>
          <w:p>
            <w:pPr>
              <w:spacing w:after="0" w:line="240" w:lineRule="auto"/>
            </w:pPr>
            <w:r>
              <w:rPr>
                <w:rFonts w:ascii="Aptos" w:hAnsi="Aptos"/>
                <w:b/>
                <w:color w:val="B87333"/>
                <w:sz w:val="14"/>
              </w:rPr>
              <w:t>EFFECTIVE DATE</w:t>
              <w:br/>
            </w:r>
            <w:sdt>
              <w:sdtPr>
                <w:tag w:val="EFFECTIVE_DATE"/>
                <w:alias w:val="EFFECTIVE_DATE"/>
                <w:text/>
              </w:sdtPr>
              <w:sdtContent>
                <w:r>
                  <w:rPr>
                    <w:rFonts w:ascii="Aptos" w:hAnsi="Aptos"/>
                    <w:color w:val="20252A"/>
                    <w:sz w:val="18"/>
                  </w:rPr>
                  <w:t>{{EFFECTIVE_DATE}}</w:t>
                </w:r>
              </w:sdtContent>
            </w:sdt>
          </w:p>
        </w:tc>
      </w:tr>
    </w:tbl>
    <w:p>
      <w:pPr>
        <w:spacing w:before="140" w:after="140"/>
      </w:pPr>
      <w:r>
        <w:rPr>
          <w:rFonts w:ascii="Aptos" w:hAnsi="Aptos"/>
          <w:b/>
          <w:color w:val="B87333"/>
          <w:sz w:val="16"/>
        </w:rPr>
        <w:t xml:space="preserve">QUICK COMPLETION: </w:t>
      </w:r>
      <w:r>
        <w:rPr>
          <w:rFonts w:ascii="Aptos" w:hAnsi="Aptos"/>
          <w:color w:val="4E5963"/>
          <w:sz w:val="16"/>
        </w:rPr>
        <w:t>Complete the fields above, review the agreement, and sign the Client / Recipient acceptance block on the final page. Nile’s authorization is already completed.</w:t>
      </w:r>
    </w:p>
    <w:p>
      <w:pPr>
        <w:spacing w:after="100" w:line="259" w:lineRule="auto"/>
      </w:pPr>
      <w:r>
        <w:rPr>
          <w:rFonts w:ascii="Aptos" w:hAnsi="Aptos"/>
          <w:color w:val="20252A"/>
          <w:sz w:val="18"/>
        </w:rPr>
        <w:t>This Mutual Non-Disclosure Agreement (the “Agreement”) is made between Nile Acquisition Group (“Nile”) and the Client / Recipient identified above (each a “Party” and together, the “Parties”). The Agreement becomes effective on the Effective Date shown above, which shall be the date the Client / Recipient accepts and signs it unless another date is entered.</w:t>
      </w:r>
    </w:p>
    <w:p>
      <w:pPr>
        <w:pStyle w:val="Heading1"/>
        <w:keepNext/>
        <w:spacing w:before="160" w:after="80"/>
      </w:pPr>
      <w:r>
        <w:rPr>
          <w:rFonts w:ascii="Aptos Display" w:hAnsi="Aptos Display"/>
          <w:b/>
          <w:color w:val="10283F"/>
          <w:sz w:val="22"/>
        </w:rPr>
        <w:t>1.  Purpose</w:t>
      </w:r>
    </w:p>
    <w:p>
      <w:pPr>
        <w:spacing w:after="100" w:line="259" w:lineRule="auto"/>
      </w:pPr>
      <w:r>
        <w:rPr>
          <w:rFonts w:ascii="Aptos" w:hAnsi="Aptos"/>
          <w:color w:val="20252A"/>
          <w:sz w:val="18"/>
        </w:rPr>
        <w:t>The Parties wish to evaluate and discuss the property, business, acquisition opportunity, financing structure, renovation potential, investment arrangement or related transaction identified above (the “Purpose”). In connection with the Purpose, either Party may disclose Confidential Information to the other.</w:t>
      </w:r>
    </w:p>
    <w:p>
      <w:pPr>
        <w:pStyle w:val="Heading1"/>
        <w:keepNext/>
        <w:spacing w:before="160" w:after="80"/>
      </w:pPr>
      <w:r>
        <w:rPr>
          <w:rFonts w:ascii="Aptos Display" w:hAnsi="Aptos Display"/>
          <w:b/>
          <w:color w:val="10283F"/>
          <w:sz w:val="22"/>
        </w:rPr>
        <w:t>2.  Confidential Information</w:t>
      </w:r>
    </w:p>
    <w:p>
      <w:pPr>
        <w:spacing w:after="100" w:line="259" w:lineRule="auto"/>
      </w:pPr>
      <w:r>
        <w:rPr>
          <w:rFonts w:ascii="Aptos" w:hAnsi="Aptos"/>
          <w:color w:val="20252A"/>
          <w:sz w:val="18"/>
        </w:rPr>
        <w:t>“Confidential Information” means non-public information disclosed in any form—written, oral, visual, electronic or otherwise—that a reasonable person would understand to be confidential in the circumstances, including:</w:t>
      </w:r>
    </w:p>
    <w:p>
      <w:pPr>
        <w:pStyle w:val="ListBullet"/>
        <w:spacing w:after="40" w:line="250" w:lineRule="auto"/>
        <w:ind w:left="346" w:hanging="202"/>
      </w:pPr>
      <w:r>
        <w:rPr>
          <w:rFonts w:ascii="Aptos" w:hAnsi="Aptos"/>
          <w:color w:val="20252A"/>
          <w:sz w:val="18"/>
        </w:rPr>
        <w:t>property and business identity, location, ownership, seller motivation, asking terms and transaction structure;</w:t>
      </w:r>
    </w:p>
    <w:p>
      <w:pPr>
        <w:pStyle w:val="ListBullet"/>
        <w:spacing w:after="40" w:line="250" w:lineRule="auto"/>
        <w:ind w:left="346" w:hanging="202"/>
      </w:pPr>
      <w:r>
        <w:rPr>
          <w:rFonts w:ascii="Aptos" w:hAnsi="Aptos"/>
          <w:color w:val="20252A"/>
          <w:sz w:val="18"/>
        </w:rPr>
        <w:t>financial statements, rent rolls, occupancy, operating results, pricing, debt, financing, forecasts and valuations;</w:t>
      </w:r>
    </w:p>
    <w:p>
      <w:pPr>
        <w:pStyle w:val="ListBullet"/>
        <w:spacing w:after="40" w:line="250" w:lineRule="auto"/>
        <w:ind w:left="346" w:hanging="202"/>
      </w:pPr>
      <w:r>
        <w:rPr>
          <w:rFonts w:ascii="Aptos" w:hAnsi="Aptos"/>
          <w:color w:val="20252A"/>
          <w:sz w:val="18"/>
        </w:rPr>
        <w:t>inspection findings, due-diligence materials, drawings, photographs, reports, estimates, renovation concepts and redevelopment plans;</w:t>
      </w:r>
    </w:p>
    <w:p>
      <w:pPr>
        <w:pStyle w:val="ListBullet"/>
        <w:spacing w:after="40" w:line="250" w:lineRule="auto"/>
        <w:ind w:left="346" w:hanging="202"/>
      </w:pPr>
      <w:r>
        <w:rPr>
          <w:rFonts w:ascii="Aptos" w:hAnsi="Aptos"/>
          <w:color w:val="20252A"/>
          <w:sz w:val="18"/>
        </w:rPr>
        <w:t>investor, lender, broker, consultant, contractor, seller, owner and other contact information introduced by a Party;</w:t>
      </w:r>
    </w:p>
    <w:p>
      <w:pPr>
        <w:pStyle w:val="ListBullet"/>
        <w:spacing w:after="40" w:line="250" w:lineRule="auto"/>
        <w:ind w:left="346" w:hanging="202"/>
      </w:pPr>
      <w:r>
        <w:rPr>
          <w:rFonts w:ascii="Aptos" w:hAnsi="Aptos"/>
          <w:color w:val="20252A"/>
          <w:sz w:val="18"/>
        </w:rPr>
        <w:t>negotiation strategy, acquisition criteria, proprietary processes, analyses, correspondence and the existence or status of discussions; and</w:t>
      </w:r>
    </w:p>
    <w:p>
      <w:pPr>
        <w:pStyle w:val="ListBullet"/>
        <w:spacing w:after="40" w:line="250" w:lineRule="auto"/>
        <w:ind w:left="346" w:hanging="202"/>
      </w:pPr>
      <w:r>
        <w:rPr>
          <w:rFonts w:ascii="Aptos" w:hAnsi="Aptos"/>
          <w:color w:val="20252A"/>
          <w:sz w:val="18"/>
        </w:rPr>
        <w:t>personal information and any copies, notes, summaries or analyses derived from the foregoing.</w:t>
      </w:r>
    </w:p>
    <w:p>
      <w:pPr>
        <w:pStyle w:val="Heading1"/>
        <w:keepNext/>
        <w:spacing w:before="160" w:after="80"/>
      </w:pPr>
      <w:r>
        <w:rPr>
          <w:rFonts w:ascii="Aptos Display" w:hAnsi="Aptos Display"/>
          <w:b/>
          <w:color w:val="10283F"/>
          <w:sz w:val="22"/>
        </w:rPr>
        <w:t>3.  Exclusions</w:t>
      </w:r>
    </w:p>
    <w:p>
      <w:pPr>
        <w:spacing w:after="100" w:line="259" w:lineRule="auto"/>
      </w:pPr>
      <w:r>
        <w:rPr>
          <w:rFonts w:ascii="Aptos" w:hAnsi="Aptos"/>
          <w:color w:val="20252A"/>
          <w:sz w:val="18"/>
        </w:rPr>
        <w:t>Confidential Information does not include information the receiving Party can demonstrate: (a) is or becomes public through no breach of this Agreement; (b) was lawfully known without restriction before disclosure; (c) is received lawfully from a third party without a confidentiality duty; or (d) is independently developed without use of the disclosing Party’s Confidential Information.</w:t>
      </w:r>
    </w:p>
    <w:p>
      <w:pPr>
        <w:pStyle w:val="Heading1"/>
        <w:keepNext/>
        <w:spacing w:before="160" w:after="80"/>
      </w:pPr>
      <w:r>
        <w:rPr>
          <w:rFonts w:ascii="Aptos Display" w:hAnsi="Aptos Display"/>
          <w:b/>
          <w:color w:val="10283F"/>
          <w:sz w:val="22"/>
        </w:rPr>
        <w:t>4.  Confidentiality Obligations</w:t>
      </w:r>
    </w:p>
    <w:p>
      <w:pPr>
        <w:spacing w:after="100" w:line="259" w:lineRule="auto"/>
      </w:pPr>
      <w:r>
        <w:rPr>
          <w:rFonts w:ascii="Aptos" w:hAnsi="Aptos"/>
          <w:color w:val="20252A"/>
          <w:sz w:val="18"/>
        </w:rPr>
        <w:t>The receiving Party shall: (a) use Confidential Information solely for the Purpose; (b) protect it using at least reasonable care and no less care than it uses for its own information of similar sensitivity; (c) disclose it only to representatives who need it for the Purpose and are bound by confidentiality obligations; and (d) be responsible for any breach by its representatives. Neither Party may publish, market, circulate or use the other Party’s name, identity or involvement without prior written consent.</w:t>
      </w:r>
    </w:p>
    <w:p>
      <w:pPr>
        <w:pStyle w:val="Heading1"/>
        <w:keepNext/>
        <w:spacing w:before="160" w:after="80"/>
      </w:pPr>
      <w:r>
        <w:rPr>
          <w:rFonts w:ascii="Aptos Display" w:hAnsi="Aptos Display"/>
          <w:b/>
          <w:color w:val="10283F"/>
          <w:sz w:val="22"/>
        </w:rPr>
        <w:t>5.  Representatives and Professional Advisors</w:t>
      </w:r>
    </w:p>
    <w:p>
      <w:pPr>
        <w:spacing w:after="100" w:line="259" w:lineRule="auto"/>
      </w:pPr>
      <w:r>
        <w:rPr>
          <w:rFonts w:ascii="Aptos" w:hAnsi="Aptos"/>
          <w:color w:val="20252A"/>
          <w:sz w:val="18"/>
        </w:rPr>
        <w:t>A Party may share Confidential Information with its directors, officers, employees, investors, lenders, legal counsel, accountants, inspectors, engineers, consultants and contractors who reasonably require access for the Purpose. Disclosure to a prospective investor or lender does not authorize onward distribution or independent use of the opportunity.</w:t>
      </w:r>
    </w:p>
    <w:p>
      <w:pPr>
        <w:pStyle w:val="Heading1"/>
        <w:keepNext/>
        <w:spacing w:before="160" w:after="80"/>
      </w:pPr>
      <w:r>
        <w:rPr>
          <w:rFonts w:ascii="Aptos Display" w:hAnsi="Aptos Display"/>
          <w:b/>
          <w:color w:val="10283F"/>
          <w:sz w:val="22"/>
        </w:rPr>
        <w:t>6.  Introduced Parties and Non-Circumvention</w:t>
      </w:r>
    </w:p>
    <w:p>
      <w:pPr>
        <w:spacing w:after="100" w:line="259" w:lineRule="auto"/>
      </w:pPr>
      <w:r>
        <w:rPr>
          <w:rFonts w:ascii="Aptos" w:hAnsi="Aptos"/>
          <w:color w:val="20252A"/>
          <w:sz w:val="18"/>
        </w:rPr>
        <w:t>For twenty-four (24) months after the Effective Date, neither Party shall knowingly bypass the other to pursue the identified opportunity directly with an owner, seller, investor, lender, broker or other transaction contact first introduced by the other Party in connection with the Purpose, where doing so is intended to exclude the introducing Party from the opportunity or agreed role. This clause does not apply to a relationship that the receiving Party can document existed independently before the introduction, or to contact expressly approved in writing by the introducing Party. Nothing in this clause creates an entitlement to a fee or ownership interest unless separately agreed in writing.</w:t>
      </w:r>
    </w:p>
    <w:p>
      <w:pPr>
        <w:pStyle w:val="Heading1"/>
        <w:keepNext/>
        <w:spacing w:before="160" w:after="80"/>
      </w:pPr>
      <w:r>
        <w:rPr>
          <w:rFonts w:ascii="Aptos Display" w:hAnsi="Aptos Display"/>
          <w:b/>
          <w:color w:val="10283F"/>
          <w:sz w:val="22"/>
        </w:rPr>
        <w:t>7.  Required Disclosure</w:t>
      </w:r>
    </w:p>
    <w:p>
      <w:pPr>
        <w:spacing w:after="100" w:line="259" w:lineRule="auto"/>
      </w:pPr>
      <w:r>
        <w:rPr>
          <w:rFonts w:ascii="Aptos" w:hAnsi="Aptos"/>
          <w:color w:val="20252A"/>
          <w:sz w:val="18"/>
        </w:rPr>
        <w:t>If disclosure is required by law, court order or regulatory authority, the receiving Party may disclose only the legally required portion and, where lawful and reasonably practicable, shall give prompt written notice so the disclosing Party may seek protective relief.</w:t>
      </w:r>
    </w:p>
    <w:p>
      <w:pPr>
        <w:pStyle w:val="Heading1"/>
        <w:keepNext/>
        <w:spacing w:before="160" w:after="80"/>
      </w:pPr>
      <w:r>
        <w:rPr>
          <w:rFonts w:ascii="Aptos Display" w:hAnsi="Aptos Display"/>
          <w:b/>
          <w:color w:val="10283F"/>
          <w:sz w:val="22"/>
        </w:rPr>
        <w:t>8.  Ownership; No Licence; No Obligation</w:t>
      </w:r>
    </w:p>
    <w:p>
      <w:pPr>
        <w:spacing w:after="100" w:line="259" w:lineRule="auto"/>
      </w:pPr>
      <w:r>
        <w:rPr>
          <w:rFonts w:ascii="Aptos" w:hAnsi="Aptos"/>
          <w:color w:val="20252A"/>
          <w:sz w:val="18"/>
        </w:rPr>
        <w:t>All Confidential Information remains the property of the disclosing Party. No licence or transfer of intellectual property is granted except the limited right to evaluate the Purpose. Neither Party is obligated to proceed with a transaction, provide financing, enter into a partnership, retain services or disclose any particular information. Any transaction, compensation, ownership, exclusivity or agency arrangement must be set out in a separate definitive written agreement.</w:t>
      </w:r>
    </w:p>
    <w:p>
      <w:pPr>
        <w:pStyle w:val="Heading1"/>
        <w:keepNext/>
        <w:spacing w:before="160" w:after="80"/>
      </w:pPr>
      <w:r>
        <w:rPr>
          <w:rFonts w:ascii="Aptos Display" w:hAnsi="Aptos Display"/>
          <w:b/>
          <w:color w:val="10283F"/>
          <w:sz w:val="22"/>
        </w:rPr>
        <w:t>9.  Accuracy and Independent Review</w:t>
      </w:r>
    </w:p>
    <w:p>
      <w:pPr>
        <w:spacing w:after="100" w:line="259" w:lineRule="auto"/>
      </w:pPr>
      <w:r>
        <w:rPr>
          <w:rFonts w:ascii="Aptos" w:hAnsi="Aptos"/>
          <w:color w:val="20252A"/>
          <w:sz w:val="18"/>
        </w:rPr>
        <w:t>Confidential Information is provided for evaluation purposes and, unless expressly stated in a definitive written agreement, without representation or warranty as to completeness or accuracy. Each Party is responsible for its own investigation, professional advice and decisions. Nile does not act as a real-estate broker, securities dealer, lender, lawyer or accountant unless separately licensed and retained in writing for a specific role.</w:t>
      </w:r>
    </w:p>
    <w:p>
      <w:pPr>
        <w:pStyle w:val="Heading1"/>
        <w:keepNext/>
        <w:spacing w:before="160" w:after="80"/>
      </w:pPr>
      <w:r>
        <w:rPr>
          <w:rFonts w:ascii="Aptos Display" w:hAnsi="Aptos Display"/>
          <w:b/>
          <w:color w:val="10283F"/>
          <w:sz w:val="22"/>
        </w:rPr>
        <w:t>10.  Return or Destruction</w:t>
      </w:r>
    </w:p>
    <w:p>
      <w:pPr>
        <w:spacing w:after="100" w:line="259" w:lineRule="auto"/>
      </w:pPr>
      <w:r>
        <w:rPr>
          <w:rFonts w:ascii="Aptos" w:hAnsi="Aptos"/>
          <w:color w:val="20252A"/>
          <w:sz w:val="18"/>
        </w:rPr>
        <w:t>Upon written request, the receiving Party shall promptly return or securely destroy Confidential Information, except for archival copies required by law, insurance, professional standards or routine secure backup systems. Any retained copy remains subject to this Agreement.</w:t>
      </w:r>
    </w:p>
    <w:p>
      <w:pPr>
        <w:pStyle w:val="Heading1"/>
        <w:keepNext/>
        <w:spacing w:before="160" w:after="80"/>
      </w:pPr>
      <w:r>
        <w:rPr>
          <w:rFonts w:ascii="Aptos Display" w:hAnsi="Aptos Display"/>
          <w:b/>
          <w:color w:val="10283F"/>
          <w:sz w:val="22"/>
        </w:rPr>
        <w:t>11.  Term and Survival</w:t>
      </w:r>
    </w:p>
    <w:p>
      <w:pPr>
        <w:spacing w:after="100" w:line="259" w:lineRule="auto"/>
      </w:pPr>
      <w:r>
        <w:rPr>
          <w:rFonts w:ascii="Aptos" w:hAnsi="Aptos"/>
          <w:color w:val="20252A"/>
          <w:sz w:val="18"/>
        </w:rPr>
        <w:t>This Agreement continues for three (3) years from the Effective Date. The confidentiality and restricted-use obligations survive for three (3) years after each disclosure; trade secrets remain protected for so long as they qualify as trade secrets under applicable law. Sections intended by their nature to survive—including ownership, remedies, governing law and non-circumvention—shall survive for their stated periods.</w:t>
      </w:r>
    </w:p>
    <w:p>
      <w:pPr>
        <w:pStyle w:val="Heading1"/>
        <w:keepNext/>
        <w:spacing w:before="160" w:after="80"/>
      </w:pPr>
      <w:r>
        <w:rPr>
          <w:rFonts w:ascii="Aptos Display" w:hAnsi="Aptos Display"/>
          <w:b/>
          <w:color w:val="10283F"/>
          <w:sz w:val="22"/>
        </w:rPr>
        <w:t>12.  Remedies</w:t>
      </w:r>
    </w:p>
    <w:p>
      <w:pPr>
        <w:spacing w:after="100" w:line="259" w:lineRule="auto"/>
      </w:pPr>
      <w:r>
        <w:rPr>
          <w:rFonts w:ascii="Aptos" w:hAnsi="Aptos"/>
          <w:color w:val="20252A"/>
          <w:sz w:val="18"/>
        </w:rPr>
        <w:t>The Parties acknowledge that unauthorized use or disclosure may cause harm that may not be adequately compensated by damages alone. The affected Party may seek injunctive or other equitable relief in addition to any other lawful remedies, without limiting the court’s discretion or any requirement imposed by law.</w:t>
      </w:r>
    </w:p>
    <w:p>
      <w:pPr>
        <w:pStyle w:val="Heading1"/>
        <w:keepNext/>
        <w:spacing w:before="160" w:after="80"/>
      </w:pPr>
      <w:r>
        <w:rPr>
          <w:rFonts w:ascii="Aptos Display" w:hAnsi="Aptos Display"/>
          <w:b/>
          <w:color w:val="10283F"/>
          <w:sz w:val="22"/>
        </w:rPr>
        <w:t>13.  Notices</w:t>
      </w:r>
    </w:p>
    <w:p>
      <w:pPr>
        <w:spacing w:after="100" w:line="259" w:lineRule="auto"/>
      </w:pPr>
      <w:r>
        <w:rPr>
          <w:rFonts w:ascii="Aptos" w:hAnsi="Aptos"/>
          <w:color w:val="20252A"/>
          <w:sz w:val="18"/>
        </w:rPr>
        <w:t>Notices under this Agreement shall be in writing and delivered personally, by recognized courier, or by email to the addresses stated in the information panel or signature blocks. Email notice is effective when transmitted without an error or non-delivery message; notices of legal proceedings must also be delivered by personal service or as otherwise required by law.</w:t>
      </w:r>
    </w:p>
    <w:p>
      <w:pPr>
        <w:pStyle w:val="Heading1"/>
        <w:keepNext/>
        <w:spacing w:before="160" w:after="80"/>
      </w:pPr>
      <w:r>
        <w:rPr>
          <w:rFonts w:ascii="Aptos Display" w:hAnsi="Aptos Display"/>
          <w:b/>
          <w:color w:val="10283F"/>
          <w:sz w:val="22"/>
        </w:rPr>
        <w:t>14.  General</w:t>
      </w:r>
    </w:p>
    <w:p>
      <w:pPr>
        <w:spacing w:after="100" w:line="259" w:lineRule="auto"/>
      </w:pPr>
      <w:r>
        <w:rPr>
          <w:rFonts w:ascii="Aptos" w:hAnsi="Aptos"/>
          <w:color w:val="20252A"/>
          <w:sz w:val="18"/>
        </w:rPr>
        <w:t>This Agreement is the entire agreement concerning confidentiality for the Purpose and replaces prior discussions on that subject. Any amendment or waiver must be in writing and accepted by both Parties. Neither Party may assign this Agreement without the other Party’s written consent, except to an affiliate or successor in connection with a merger, reorganization or sale of substantially all relevant assets, provided the successor assumes this Agreement. If any provision is unenforceable, it shall be modified only to the minimum extent necessary and the remainder shall continue. No delay in enforcing a right is a waiver. Headings are for convenience only.</w:t>
      </w:r>
    </w:p>
    <w:p>
      <w:pPr>
        <w:pStyle w:val="Heading1"/>
        <w:keepNext/>
        <w:spacing w:before="160" w:after="80"/>
      </w:pPr>
      <w:r>
        <w:rPr>
          <w:rFonts w:ascii="Aptos Display" w:hAnsi="Aptos Display"/>
          <w:b/>
          <w:color w:val="10283F"/>
          <w:sz w:val="22"/>
        </w:rPr>
        <w:t>15.  Governing Law and Electronic Execution</w:t>
      </w:r>
    </w:p>
    <w:p>
      <w:pPr>
        <w:spacing w:after="100" w:line="259" w:lineRule="auto"/>
      </w:pPr>
      <w:r>
        <w:rPr>
          <w:rFonts w:ascii="Aptos" w:hAnsi="Aptos"/>
          <w:color w:val="20252A"/>
          <w:sz w:val="18"/>
        </w:rPr>
        <w:t>This Agreement is governed by the laws of the Province of Alberta and the federal laws of Canada applicable there. The Parties attorn to the courts of Alberta, unless they later agree in writing to another forum for the identified property. This Agreement may be executed in counterparts and delivered electronically. Electronic signatures and electronic acceptance are intended to be binding to the extent permitted by applicable law.</w:t>
      </w:r>
    </w:p>
    <w:p>
      <w:pPr>
        <w:spacing w:before="200" w:after="120"/>
      </w:pPr>
      <w:r>
        <w:rPr>
          <w:rFonts w:ascii="Aptos Display" w:hAnsi="Aptos Display"/>
          <w:b/>
          <w:color w:val="10283F"/>
          <w:sz w:val="26"/>
        </w:rPr>
        <w:t>ACCEPTANCE &amp; EXECUTION</w:t>
      </w:r>
    </w:p>
    <w:tbl>
      <w:tblPr>
        <w:tblW w:type="auto" w:w="0"/>
        <w:jc w:val="center"/>
        <w:tblLayout w:type="fixed"/>
        <w:tblLook w:firstColumn="1" w:firstRow="1" w:lastColumn="0" w:lastRow="0" w:noHBand="0" w:noVBand="1" w:val="04A0"/>
        <w:tblBorders>
          <w:top w:val="single" w:sz="6" w:color="D9DEE3"/>
          <w:left w:val="single" w:sz="6" w:color="D9DEE3"/>
          <w:bottom w:val="single" w:sz="6" w:color="D9DEE3"/>
          <w:right w:val="single" w:sz="6" w:color="D9DEE3"/>
          <w:insideH w:val="single" w:sz="6" w:color="D9DEE3"/>
          <w:insideV w:val="single" w:sz="6" w:color="D9DEE3"/>
        </w:tblBorders>
      </w:tblPr>
      <w:tblGrid>
        <w:gridCol w:w="5083"/>
        <w:gridCol w:w="5083"/>
      </w:tblGrid>
      <w:tr>
        <w:tc>
          <w:tcPr>
            <w:tcW w:type="dxa" w:w="5040"/>
            <w:tcMar>
              <w:top w:w="150" w:type="dxa"/>
              <w:start w:w="150" w:type="dxa"/>
              <w:bottom w:w="150" w:type="dxa"/>
              <w:end w:w="150" w:type="dxa"/>
            </w:tcMar>
            <w:vAlign w:val="top"/>
            <w:shd w:fill="10283F"/>
          </w:tcPr>
          <w:p>
            <w:r/>
            <w:r>
              <w:rPr>
                <w:rFonts w:ascii="Aptos" w:hAnsi="Aptos"/>
                <w:b/>
                <w:color w:val="B87333"/>
                <w:sz w:val="15"/>
              </w:rPr>
              <w:t>AUTHORIZED IN ADVANCE FOR</w:t>
            </w:r>
          </w:p>
          <w:p>
            <w:pPr>
              <w:spacing w:before="0" w:after="200" w:line="259" w:lineRule="auto"/>
            </w:pPr>
            <w:r>
              <w:rPr>
                <w:rFonts w:ascii="Aptos" w:hAnsi="Aptos"/>
                <w:b/>
                <w:color w:val="FFFFFF"/>
                <w:sz w:val="23"/>
              </w:rPr>
              <w:t>NILE ACQUISITION GROUP</w:t>
            </w:r>
          </w:p>
          <w:p>
            <w:pPr>
              <w:spacing w:before="0" w:after="60" w:line="259" w:lineRule="auto"/>
            </w:pPr>
            <w:r>
              <w:rPr>
                <w:rFonts w:ascii="Aptos" w:hAnsi="Aptos"/>
                <w:b w:val="0"/>
                <w:color w:val="FFFFFF"/>
                <w:sz w:val="20"/>
              </w:rPr>
              <w:t>Signed: /s/ David Hamaoui</w:t>
            </w:r>
          </w:p>
          <w:p>
            <w:pPr>
              <w:spacing w:before="0" w:after="20" w:line="259" w:lineRule="auto"/>
            </w:pPr>
            <w:r>
              <w:rPr>
                <w:rFonts w:ascii="Aptos" w:hAnsi="Aptos"/>
                <w:b w:val="0"/>
                <w:color w:val="FFFFFF"/>
                <w:sz w:val="18"/>
              </w:rPr>
              <w:t>Name: David Hamaoui</w:t>
            </w:r>
          </w:p>
          <w:p>
            <w:pPr>
              <w:spacing w:before="0" w:after="20" w:line="259" w:lineRule="auto"/>
            </w:pPr>
            <w:r>
              <w:rPr>
                <w:rFonts w:ascii="Aptos" w:hAnsi="Aptos"/>
                <w:b w:val="0"/>
                <w:color w:val="FFFFFF"/>
                <w:sz w:val="18"/>
              </w:rPr>
              <w:t>Title: Authorized Representative</w:t>
            </w:r>
          </w:p>
          <w:p>
            <w:pPr>
              <w:spacing w:before="0" w:after="20" w:line="259" w:lineRule="auto"/>
            </w:pPr>
            <w:r>
              <w:rPr>
                <w:rFonts w:ascii="Aptos" w:hAnsi="Aptos"/>
                <w:b w:val="0"/>
                <w:color w:val="FFFFFF"/>
                <w:sz w:val="18"/>
              </w:rPr>
              <w:t>Date authorized: August 21, 2026</w:t>
            </w:r>
          </w:p>
          <w:p>
            <w:pPr>
              <w:spacing w:before="0" w:after="20" w:line="259" w:lineRule="auto"/>
            </w:pPr>
            <w:r>
              <w:rPr>
                <w:rFonts w:ascii="Aptos" w:hAnsi="Aptos"/>
                <w:b w:val="0"/>
                <w:color w:val="FFFFFF"/>
                <w:sz w:val="18"/>
              </w:rPr>
              <w:t xml:space="preserve">Email: </w:t>
            </w:r>
            <w:sdt>
              <w:sdtPr>
                <w:tag w:val="NILE_EMAIL"/>
                <w:alias w:val="NILE_EMAIL"/>
                <w:text/>
              </w:sdtPr>
              <w:sdtContent>
                <w:r>
                  <w:rPr>
                    <w:rFonts w:ascii="Aptos" w:hAnsi="Aptos"/>
                    <w:b w:val="0"/>
                    <w:color w:val="FFFFFF"/>
                    <w:sz w:val="18"/>
                  </w:rPr>
                  <w:t>{{NILE_EMAIL}}</w:t>
                </w:r>
              </w:sdtContent>
            </w:sdt>
          </w:p>
          <w:p>
            <w:pPr>
              <w:spacing w:before="0" w:after="20" w:line="259" w:lineRule="auto"/>
            </w:pPr>
            <w:r>
              <w:rPr>
                <w:rFonts w:ascii="Aptos" w:hAnsi="Aptos"/>
                <w:b w:val="0"/>
                <w:color w:val="FFFFFF"/>
                <w:sz w:val="18"/>
              </w:rPr>
              <w:t>Address: Calgary, Alberta, Canada</w:t>
            </w:r>
          </w:p>
        </w:tc>
        <w:tc>
          <w:tcPr>
            <w:tcW w:type="dxa" w:w="5040"/>
            <w:tcMar>
              <w:top w:w="150" w:type="dxa"/>
              <w:start w:w="150" w:type="dxa"/>
              <w:bottom w:w="150" w:type="dxa"/>
              <w:end w:w="150" w:type="dxa"/>
            </w:tcMar>
            <w:vAlign w:val="top"/>
            <w:shd w:fill="F3F5F7"/>
          </w:tcPr>
          <w:p>
            <w:r/>
            <w:r>
              <w:rPr>
                <w:rFonts w:ascii="Aptos" w:hAnsi="Aptos"/>
                <w:b/>
                <w:color w:val="B87333"/>
                <w:sz w:val="15"/>
              </w:rPr>
              <w:t>CLIENT / RECIPIENT ACCEPTANCE</w:t>
            </w:r>
          </w:p>
          <w:p>
            <w:pPr>
              <w:spacing w:before="0" w:after="80" w:line="259" w:lineRule="auto"/>
            </w:pPr>
            <w:r>
              <w:rPr>
                <w:rFonts w:ascii="Aptos" w:hAnsi="Aptos"/>
                <w:b/>
                <w:color w:val="10283F"/>
                <w:sz w:val="17"/>
              </w:rPr>
              <w:t xml:space="preserve">Legal name: </w:t>
            </w:r>
            <w:sdt>
              <w:sdtPr>
                <w:tag w:val="CLIENT_LEGAL_NAME"/>
                <w:alias w:val="CLIENT_LEGAL_NAME"/>
                <w:text/>
              </w:sdtPr>
              <w:sdtContent>
                <w:r>
                  <w:rPr>
                    <w:rFonts w:ascii="Aptos" w:hAnsi="Aptos"/>
                    <w:color w:val="20252A"/>
                    <w:sz w:val="17"/>
                  </w:rPr>
                  <w:t>{{CLIENT_LEGAL_NAME}}</w:t>
                </w:r>
              </w:sdtContent>
            </w:sdt>
          </w:p>
          <w:p>
            <w:pPr>
              <w:spacing w:before="0" w:after="80" w:line="259" w:lineRule="auto"/>
            </w:pPr>
            <w:r>
              <w:rPr>
                <w:rFonts w:ascii="Aptos" w:hAnsi="Aptos"/>
                <w:b/>
                <w:color w:val="10283F"/>
                <w:sz w:val="17"/>
              </w:rPr>
              <w:t xml:space="preserve">Authorized signer: </w:t>
            </w:r>
            <w:sdt>
              <w:sdtPr>
                <w:tag w:val="CLIENT_SIGNER_NAME"/>
                <w:alias w:val="CLIENT_SIGNER_NAME"/>
                <w:text/>
              </w:sdtPr>
              <w:sdtContent>
                <w:r>
                  <w:rPr>
                    <w:rFonts w:ascii="Aptos" w:hAnsi="Aptos"/>
                    <w:color w:val="20252A"/>
                    <w:sz w:val="17"/>
                  </w:rPr>
                  <w:t>{{CLIENT_SIGNER_NAME}}</w:t>
                </w:r>
              </w:sdtContent>
            </w:sdt>
          </w:p>
          <w:p>
            <w:pPr>
              <w:spacing w:before="0" w:after="80" w:line="259" w:lineRule="auto"/>
            </w:pPr>
            <w:r>
              <w:rPr>
                <w:rFonts w:ascii="Aptos" w:hAnsi="Aptos"/>
                <w:b/>
                <w:color w:val="10283F"/>
                <w:sz w:val="17"/>
              </w:rPr>
              <w:t xml:space="preserve">Title: </w:t>
            </w:r>
            <w:sdt>
              <w:sdtPr>
                <w:tag w:val="CLIENT_SIGNER_TITLE"/>
                <w:alias w:val="CLIENT_SIGNER_TITLE"/>
                <w:text/>
              </w:sdtPr>
              <w:sdtContent>
                <w:r>
                  <w:rPr>
                    <w:rFonts w:ascii="Aptos" w:hAnsi="Aptos"/>
                    <w:color w:val="20252A"/>
                    <w:sz w:val="17"/>
                  </w:rPr>
                  <w:t>{{CLIENT_SIGNER_TITLE}}</w:t>
                </w:r>
              </w:sdtContent>
            </w:sdt>
          </w:p>
          <w:p>
            <w:pPr>
              <w:spacing w:before="0" w:after="80" w:line="259" w:lineRule="auto"/>
            </w:pPr>
            <w:r>
              <w:rPr>
                <w:rFonts w:ascii="Aptos" w:hAnsi="Aptos"/>
                <w:b/>
                <w:color w:val="10283F"/>
                <w:sz w:val="17"/>
              </w:rPr>
              <w:t xml:space="preserve">Signature: </w:t>
            </w:r>
            <w:r>
              <w:rPr>
                <w:rFonts w:ascii="Aptos" w:hAnsi="Aptos"/>
                <w:color w:val="20252A"/>
                <w:sz w:val="17"/>
              </w:rPr>
              <w:t>________________________________</w:t>
            </w:r>
          </w:p>
          <w:p>
            <w:pPr>
              <w:spacing w:before="0" w:after="80" w:line="259" w:lineRule="auto"/>
            </w:pPr>
            <w:r>
              <w:rPr>
                <w:rFonts w:ascii="Aptos" w:hAnsi="Aptos"/>
                <w:b/>
                <w:color w:val="10283F"/>
                <w:sz w:val="17"/>
              </w:rPr>
              <w:t xml:space="preserve">Date signed: </w:t>
            </w:r>
            <w:sdt>
              <w:sdtPr>
                <w:tag w:val="CLIENT_SIGNATURE_DATE"/>
                <w:alias w:val="CLIENT_SIGNATURE_DATE"/>
                <w:text/>
              </w:sdtPr>
              <w:sdtContent>
                <w:r>
                  <w:rPr>
                    <w:rFonts w:ascii="Aptos" w:hAnsi="Aptos"/>
                    <w:color w:val="20252A"/>
                    <w:sz w:val="17"/>
                  </w:rPr>
                  <w:t>{{CLIENT_SIGNATURE_DATE}}</w:t>
                </w:r>
              </w:sdtContent>
            </w:sdt>
          </w:p>
          <w:p>
            <w:pPr>
              <w:spacing w:before="0" w:after="80" w:line="259" w:lineRule="auto"/>
            </w:pPr>
            <w:r>
              <w:rPr>
                <w:rFonts w:ascii="Aptos" w:hAnsi="Aptos"/>
                <w:b/>
                <w:color w:val="10283F"/>
                <w:sz w:val="17"/>
              </w:rPr>
              <w:t xml:space="preserve">Email for notices: </w:t>
            </w:r>
            <w:sdt>
              <w:sdtPr>
                <w:tag w:val="CLIENT_NOTICE_EMAIL"/>
                <w:alias w:val="CLIENT_NOTICE_EMAIL"/>
                <w:text/>
              </w:sdtPr>
              <w:sdtContent>
                <w:r>
                  <w:rPr>
                    <w:rFonts w:ascii="Aptos" w:hAnsi="Aptos"/>
                    <w:color w:val="20252A"/>
                    <w:sz w:val="17"/>
                  </w:rPr>
                  <w:t>{{CLIENT_NOTICE_EMAIL}}</w:t>
                </w:r>
              </w:sdtContent>
            </w:sdt>
          </w:p>
        </w:tc>
      </w:tr>
    </w:tbl>
    <w:p>
      <w:pPr>
        <w:spacing w:before="140" w:after="0"/>
      </w:pPr>
      <w:r>
        <w:rPr>
          <w:rFonts w:ascii="Aptos" w:hAnsi="Aptos"/>
          <w:i/>
          <w:color w:val="5D6670"/>
          <w:sz w:val="15"/>
        </w:rPr>
        <w:t>By signing, the Client / Recipient confirms authority to bind the identified legal person and agrees that Nile’s completed execution and electronic delivery constitute Nile’s acceptance of this Agreement.</w:t>
      </w:r>
    </w:p>
    <w:sectPr w:rsidR="00FC693F" w:rsidRPr="0006063C" w:rsidSect="00034616">
      <w:headerReference w:type="default" r:id="rId9"/>
      <w:headerReference w:type="even" r:id="rId10"/>
      <w:footerReference w:type="default" r:id="rId11"/>
      <w:pgSz w:w="12240" w:h="15840"/>
      <w:pgMar w:top="1181" w:right="1037" w:bottom="893" w:left="1037" w:header="259"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B737B"/>
        <w:sz w:val="15"/>
      </w:rPr>
      <w:t xml:space="preserve">Nile Acquisition Group  •  Mutual Non-Disclosure Agreement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ind w:left="0" w:right="0"/>
      <w:shd w:fill="10283F"/>
      <w:tabs>
        <w:tab w:val="right" w:pos="10080"/>
      </w:tabs>
    </w:pPr>
    <w:r>
      <w:rPr>
        <w:rFonts w:ascii="Aptos Display" w:hAnsi="Aptos Display"/>
        <w:b/>
        <w:color w:val="B87333"/>
        <w:sz w:val="32"/>
      </w:rPr>
      <w:t xml:space="preserve">  NILE</w:t>
    </w:r>
    <w:r>
      <w:rPr>
        <w:rFonts w:ascii="Aptos Display" w:hAnsi="Aptos Display"/>
        <w:b/>
        <w:color w:val="FFFFFF"/>
        <w:sz w:val="19"/>
      </w:rPr>
      <w:t xml:space="preserve">  ACQUISITION GROUP</w:t>
    </w:r>
    <w:r>
      <w:rPr>
        <w:rFonts w:ascii="Aptos" w:hAnsi="Aptos"/>
        <w:b/>
        <w:color w:val="FFFFFF"/>
        <w:sz w:val="16"/>
      </w:rPr>
      <w:tab/>
      <w:t xml:space="preserve">CONFIDENTIAL  </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shd w:fill="10283F"/>
      <w:tabs>
        <w:tab w:val="right" w:pos="10080"/>
      </w:tabs>
    </w:pPr>
    <w:r>
      <w:rPr>
        <w:rFonts w:ascii="Aptos Display" w:hAnsi="Aptos Display"/>
        <w:b/>
        <w:color w:val="B87333"/>
        <w:sz w:val="32"/>
      </w:rPr>
      <w:t xml:space="preserve">  NILE</w:t>
    </w:r>
    <w:r>
      <w:rPr>
        <w:rFonts w:ascii="Aptos Display" w:hAnsi="Aptos Display"/>
        <w:b/>
        <w:color w:val="FFFFFF"/>
        <w:sz w:val="19"/>
      </w:rPr>
      <w:t xml:space="preserve">  ACQUISITION GROUP</w:t>
    </w:r>
    <w:r>
      <w:rPr>
        <w:rFonts w:ascii="Aptos" w:hAnsi="Aptos"/>
        <w:b/>
        <w:color w:val="FFFFFF"/>
        <w:sz w:val="16"/>
      </w:rPr>
      <w:tab/>
      <w:t xml:space="preserve">CONFIDENTIAL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0252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Nile Acquisition Group Mutual Non-Disclosure Agreement</dc:title>
  <dc:subject>Fillable property and acquisition NDA</dc:subject>
  <dc:creator>Nile Acquisition Group</dc:creator>
  <cp:keywords>NDA, confidentiality, acquisition, property, Nile Acquisition Group</cp:keywords>
  <dc:description>generated by python-docx</dc:description>
  <cp:lastModifiedBy/>
  <cp:revision>1</cp:revision>
  <dcterms:created xsi:type="dcterms:W3CDTF">2013-12-23T23:15:00Z</dcterms:created>
  <dcterms:modified xsi:type="dcterms:W3CDTF">2013-12-23T23:15:00Z</dcterms:modified>
  <cp:category/>
</cp:coreProperties>
</file>